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40"/>
        <w:ind w:left="0" w:righ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Величина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финансовой поддержки в форме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возмещения части затрат </w:t>
      </w:r>
      <w:r>
        <w:rPr>
          <w:rFonts w:ascii="Times New Roman" w:hAnsi="Times New Roman"/>
          <w:b/>
          <w:bCs/>
          <w:color w:val="000000"/>
          <w:sz w:val="32"/>
          <w:szCs w:val="32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840"/>
        <w:ind w:left="0" w:righ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субъектов М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СП, связанных с приобретением и (или)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лизингом оборудования </w:t>
      </w:r>
      <w:r>
        <w:rPr>
          <w:rFonts w:ascii="Times New Roman" w:hAnsi="Times New Roman"/>
          <w:b/>
          <w:bCs/>
          <w:color w:val="000000"/>
          <w:sz w:val="32"/>
          <w:szCs w:val="32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840"/>
        <w:ind w:left="0" w:right="0" w:firstLine="0"/>
        <w:jc w:val="center"/>
        <w:rPr>
          <w:rFonts w:ascii="Times New Roman" w:hAnsi="Times New Roman"/>
          <w:b/>
          <w:bCs/>
          <w:color w:val="000000"/>
          <w:sz w:val="32"/>
          <w:szCs w:val="32"/>
          <w:highlight w:val="none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 целях создания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развития либо модернизации производства товаров (работ, услуг)</w:t>
      </w:r>
      <w:r>
        <w:rPr>
          <w:rFonts w:ascii="Times New Roman" w:hAnsi="Times New Roman"/>
          <w:b/>
          <w:bCs/>
          <w:color w:val="000000"/>
          <w:sz w:val="32"/>
          <w:szCs w:val="32"/>
          <w:highlight w:val="none"/>
        </w:rPr>
      </w:r>
    </w:p>
    <w:p>
      <w:pPr>
        <w:pStyle w:val="840"/>
        <w:ind w:firstLine="709"/>
        <w:jc w:val="center"/>
        <w:rPr>
          <w:rFonts w:ascii="Times New Roman" w:hAnsi="Times New Roman"/>
          <w:b/>
          <w:bCs/>
          <w:sz w:val="32"/>
          <w:szCs w:val="32"/>
        </w:rPr>
      </w:pPr>
      <w:r>
        <w:rPr>
          <w:rFonts w:ascii="Times New Roman" w:hAnsi="Times New Roman"/>
          <w:b/>
          <w:bCs/>
          <w:color w:val="000000"/>
          <w:sz w:val="32"/>
          <w:szCs w:val="32"/>
          <w:highlight w:val="none"/>
        </w:rPr>
      </w:r>
      <w:r>
        <w:rPr>
          <w:rFonts w:ascii="Times New Roman" w:hAnsi="Times New Roman"/>
          <w:b/>
          <w:bCs/>
          <w:color w:val="000000"/>
          <w:sz w:val="32"/>
          <w:szCs w:val="32"/>
          <w:highlight w:val="none"/>
        </w:rPr>
      </w:r>
      <w:r>
        <w:rPr>
          <w:rFonts w:ascii="Times New Roman" w:hAnsi="Times New Roman"/>
          <w:b/>
          <w:bCs/>
          <w:sz w:val="32"/>
          <w:szCs w:val="32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а) 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50%</w:t>
      </w:r>
      <w:r>
        <w:rPr>
          <w:rFonts w:ascii="Times New Roman" w:hAnsi="Times New Roman" w:cs="Times New Roman"/>
          <w:sz w:val="28"/>
          <w:szCs w:val="28"/>
        </w:rPr>
        <w:t xml:space="preserve"> (для субъектов среднего предпринимательства </w:t>
      </w:r>
      <w:r>
        <w:rPr>
          <w:rFonts w:ascii="Times New Roman" w:hAnsi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25%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фактически произведенных и документально подтвержденных затрат на приобретение оборудования </w:t>
      </w:r>
      <w:r>
        <w:rPr>
          <w:rFonts w:ascii="Times New Roman" w:hAnsi="Times New Roman" w:cs="Times New Roman"/>
          <w:sz w:val="28"/>
          <w:szCs w:val="28"/>
        </w:rPr>
        <w:t xml:space="preserve">(без НДС </w:t>
      </w:r>
      <w:r>
        <w:rPr>
          <w:rFonts w:ascii="Times New Roman" w:hAnsi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cs="Times New Roman"/>
          <w:sz w:val="28"/>
          <w:szCs w:val="28"/>
        </w:rPr>
        <w:t xml:space="preserve"> для субъектов МСП, применяющих общую систему налогообложения), но не более запрашиваемого размера субсидии, указанного в заявке;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32"/>
          <w:szCs w:val="32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б) 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20% от фактически произведенных на момент подачи заявки затрат, связанных с уплатой субъектом МСП еже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месячных лизинговых платежей по 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действующим на момент подачи заявки договорам лизинга 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, включая затраты на монтаж оборудования, но не более запрашиваемого размера</w:t>
      </w:r>
      <w:r>
        <w:rPr>
          <w:rFonts w:ascii="Times New Roman" w:hAnsi="Times New Roman" w:cs="Times New Roman"/>
          <w:sz w:val="28"/>
          <w:szCs w:val="28"/>
        </w:rPr>
        <w:t xml:space="preserve"> субсидии, указанного в заявке;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32"/>
          <w:szCs w:val="32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в) 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50% от первого взноса (аванса) при заключении договора лизинга 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, но не более запрашиваемого</w:t>
      </w:r>
      <w:r>
        <w:rPr>
          <w:rFonts w:ascii="Times New Roman" w:hAnsi="Times New Roman" w:cs="Times New Roman"/>
          <w:sz w:val="28"/>
          <w:szCs w:val="28"/>
        </w:rPr>
        <w:t xml:space="preserve"> размера субсидии, указанного в </w:t>
      </w:r>
      <w:r>
        <w:rPr>
          <w:rFonts w:ascii="Times New Roman" w:hAnsi="Times New Roman" w:cs="Times New Roman"/>
          <w:sz w:val="28"/>
          <w:szCs w:val="28"/>
        </w:rPr>
        <w:t xml:space="preserve">заявке.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32"/>
          <w:szCs w:val="32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случае, если расчетный размер субсидии меньше запрашиваемого размера субсидии, указанного в зая</w:t>
      </w:r>
      <w:r>
        <w:rPr>
          <w:rFonts w:ascii="Times New Roman" w:hAnsi="Times New Roman" w:cs="Times New Roman"/>
          <w:sz w:val="28"/>
          <w:szCs w:val="28"/>
        </w:rPr>
        <w:t xml:space="preserve">вке, субсидия предоставляется в </w:t>
      </w:r>
      <w:r>
        <w:rPr>
          <w:rFonts w:ascii="Times New Roman" w:hAnsi="Times New Roman" w:cs="Times New Roman"/>
          <w:sz w:val="28"/>
          <w:szCs w:val="28"/>
        </w:rPr>
        <w:t xml:space="preserve">расчетном размере.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32"/>
          <w:szCs w:val="32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Субсидированию подлежат затраты,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произведенные в год предоставления субсидии и за два года, предшествующих году предоставления субсидии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Сумма субсидий, указанных в подпунктах «а» – «в», должна составлять не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 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более 5,0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 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млн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 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рублей на одного получателя субсидии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а также не должна превышать размер фактически уплаченных получателем субсидии налогов в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 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консолидированный бюджет Новосибирской области за год, предшествующий году предоставления субсидии</w:t>
      </w:r>
      <w:r>
        <w:rPr>
          <w:rFonts w:ascii="Times New Roman" w:hAnsi="Times New Roman" w:cs="Times New Roman"/>
          <w:sz w:val="28"/>
          <w:szCs w:val="28"/>
        </w:rPr>
        <w:t xml:space="preserve"> (за исключением субъектов МСП, в отношении которых в единый реестр субъектов МСП внесено указание о том, что они являются социальным предприятием).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Предмет лизинга</w:t>
      </w:r>
      <w:r>
        <w:rPr>
          <w:rFonts w:ascii="Times New Roman" w:hAnsi="Times New Roman" w:cs="Times New Roman"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sz w:val="28"/>
          <w:szCs w:val="28"/>
        </w:rPr>
        <w:t xml:space="preserve"> приобретенное оборудование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должны быть произведены не ранее года, предшествующего году заключения договора</w:t>
      </w:r>
      <w:r>
        <w:rPr>
          <w:rFonts w:ascii="Times New Roman" w:hAnsi="Times New Roman" w:cs="Times New Roman"/>
          <w:sz w:val="28"/>
          <w:szCs w:val="28"/>
        </w:rPr>
        <w:t xml:space="preserve"> лизинга</w:t>
      </w:r>
      <w:r>
        <w:rPr>
          <w:rFonts w:ascii="Times New Roman" w:hAnsi="Times New Roman" w:cs="Times New Roman"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sz w:val="28"/>
          <w:szCs w:val="28"/>
        </w:rPr>
        <w:t xml:space="preserve"> приобретения оборудования.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Субсидирование затрат на приобретени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е оборудования осуществляется в 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отношении:</w:t>
      </w:r>
      <w:r>
        <w:rPr>
          <w:rFonts w:ascii="Times New Roman" w:hAnsi="Times New Roman" w:cs="Times New Roman"/>
          <w:sz w:val="28"/>
          <w:szCs w:val="28"/>
        </w:rPr>
        <w:t xml:space="preserve"> оборудования, устройств, механизмов, транспортных средств (за</w:t>
      </w:r>
      <w:r>
        <w:rPr>
          <w:rFonts w:ascii="Times New Roman" w:hAnsi="Times New Roman" w:cs="Times New Roman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исключением легковых автомобилей и воздушных судов), станков, приборов, аппаратов, агрегатов, установок,</w:t>
      </w:r>
      <w:r>
        <w:rPr>
          <w:rFonts w:ascii="Times New Roman" w:hAnsi="Times New Roman" w:cs="Times New Roman"/>
          <w:sz w:val="28"/>
          <w:szCs w:val="28"/>
        </w:rPr>
        <w:t xml:space="preserve"> машин, относящихся ко второй и </w:t>
      </w:r>
      <w:r>
        <w:rPr>
          <w:rFonts w:ascii="Times New Roman" w:hAnsi="Times New Roman" w:cs="Times New Roman"/>
          <w:sz w:val="28"/>
          <w:szCs w:val="28"/>
        </w:rPr>
        <w:t xml:space="preserve">выше амортизационным группам Классификации основных средств, включаемых в амортизационные группы, утвержденные постановлением Правительства Российской Федерации от</w:t>
      </w:r>
      <w:r>
        <w:rPr>
          <w:rFonts w:ascii="Times New Roman" w:hAnsi="Times New Roman" w:cs="Times New Roman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01.01.2002</w:t>
      </w:r>
      <w:r>
        <w:rPr>
          <w:rFonts w:ascii="Times New Roman" w:hAnsi="Times New Roman" w:cs="Times New Roman"/>
          <w:sz w:val="28"/>
          <w:szCs w:val="28"/>
        </w:rPr>
        <w:t xml:space="preserve"> № </w:t>
      </w:r>
      <w:r>
        <w:rPr>
          <w:rFonts w:ascii="Times New Roman" w:hAnsi="Times New Roman" w:cs="Times New Roman"/>
          <w:sz w:val="28"/>
          <w:szCs w:val="28"/>
        </w:rPr>
        <w:t xml:space="preserve">1 «О </w:t>
      </w:r>
      <w:r>
        <w:rPr>
          <w:rFonts w:ascii="Times New Roman" w:hAnsi="Times New Roman" w:cs="Times New Roman"/>
          <w:sz w:val="28"/>
          <w:szCs w:val="28"/>
        </w:rPr>
        <w:t xml:space="preserve">Классификации основных средств, включаемых в амортизационные группы»,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за исключением оборудования, предназначенн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ого для 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осуществления оптовой и 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розничной торговой деятельности субъектами МСП.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sz w:val="32"/>
          <w:szCs w:val="32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Субсидии предоставляютс</w:t>
      </w:r>
      <w:r>
        <w:rPr>
          <w:rFonts w:ascii="Times New Roman" w:hAnsi="Times New Roman" w:cs="Times New Roman"/>
          <w:sz w:val="28"/>
          <w:szCs w:val="28"/>
        </w:rPr>
        <w:t xml:space="preserve">я на возмещение части затрат на </w:t>
      </w:r>
      <w:r>
        <w:rPr>
          <w:rFonts w:ascii="Times New Roman" w:hAnsi="Times New Roman" w:cs="Times New Roman"/>
          <w:sz w:val="28"/>
          <w:szCs w:val="28"/>
        </w:rPr>
        <w:t xml:space="preserve">приобретение</w:t>
      </w:r>
      <w:r>
        <w:rPr>
          <w:rFonts w:ascii="Times New Roman" w:hAnsi="Times New Roman" w:cs="Times New Roman"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sz w:val="28"/>
          <w:szCs w:val="28"/>
        </w:rPr>
        <w:t xml:space="preserve"> лизинг оборудования,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используемого для осно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вной деятельности субъектов МСП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*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При предоставлении субсидии не подл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ежат субсидированию затраты, на 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субсидирование которых ранее была предо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ставлена финансовая поддержка в 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рамках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г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осударственной программы Новосибирской области «Развитие субъектов малого 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 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среднего предпринимательства в Новосибирской области»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или мероприятий иных государственных или муниципальных программ</w:t>
      </w:r>
      <w:r>
        <w:rPr>
          <w:rFonts w:ascii="Times New Roman" w:hAnsi="Times New Roman" w:cs="Times New Roman"/>
          <w:sz w:val="28"/>
          <w:szCs w:val="28"/>
        </w:rPr>
        <w:t xml:space="preserve">, предусматривающих в том числе оказание финансовой поддержки субъектам МСП.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Субси</w:t>
      </w:r>
      <w:r>
        <w:rPr>
          <w:rFonts w:ascii="Times New Roman" w:hAnsi="Times New Roman" w:cs="Times New Roman"/>
          <w:sz w:val="28"/>
          <w:szCs w:val="28"/>
        </w:rPr>
        <w:t xml:space="preserve">дия перечисляется единовременно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32"/>
          <w:szCs w:val="32"/>
        </w:rPr>
      </w:r>
    </w:p>
    <w:p>
      <w:pPr>
        <w:pStyle w:val="836"/>
        <w:ind w:firstLine="709"/>
        <w:jc w:val="both"/>
        <w:spacing w:after="0" w:line="240" w:lineRule="auto"/>
        <w:widowControl w:val="off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</w:r>
      <w:r>
        <w:rPr>
          <w:rFonts w:ascii="Times New Roman" w:hAnsi="Times New Roman"/>
          <w:i/>
          <w:sz w:val="28"/>
          <w:szCs w:val="28"/>
        </w:rPr>
      </w:r>
      <w:r>
        <w:rPr>
          <w:rFonts w:ascii="Times New Roman" w:hAnsi="Times New Roman"/>
          <w:i/>
          <w:sz w:val="28"/>
          <w:szCs w:val="28"/>
        </w:rPr>
      </w:r>
    </w:p>
    <w:p>
      <w:pPr>
        <w:pStyle w:val="836"/>
        <w:ind w:firstLine="540"/>
        <w:jc w:val="both"/>
        <w:spacing w:before="240"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&lt;</w:t>
      </w:r>
      <w:r>
        <w:rPr>
          <w:rFonts w:ascii="Times New Roman" w:hAnsi="Times New Roman"/>
          <w:sz w:val="24"/>
          <w:szCs w:val="24"/>
        </w:rPr>
        <w:t xml:space="preserve">*&gt;</w:t>
      </w:r>
      <w:r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Для целей оказания финансовой поддержки основным видом деятельности является тот вид деятельности, выручка (доход) от</w:t>
      </w:r>
      <w:r>
        <w:rPr>
          <w:rFonts w:ascii="Times New Roman" w:hAnsi="Times New Roman" w:cs="Times New Roman"/>
          <w:sz w:val="24"/>
          <w:szCs w:val="24"/>
        </w:rPr>
        <w:t xml:space="preserve"> </w:t>
      </w:r>
      <w:r>
        <w:rPr>
          <w:rFonts w:ascii="Times New Roman" w:hAnsi="Times New Roman" w:cs="Times New Roman"/>
          <w:sz w:val="24"/>
          <w:szCs w:val="24"/>
        </w:rPr>
        <w:t xml:space="preserve">которого в отчетном периоде составляет более 50 процентов от общей суммы выручки (дохода)</w:t>
      </w:r>
      <w:r>
        <w:rPr>
          <w:rFonts w:ascii="Times New Roman" w:hAnsi="Times New Roman" w:cs="Times New Roman"/>
          <w:sz w:val="24"/>
          <w:szCs w:val="24"/>
        </w:rPr>
        <w:t xml:space="preserve"> от реализации товаров, работ и </w:t>
      </w:r>
      <w:r>
        <w:rPr>
          <w:rFonts w:ascii="Times New Roman" w:hAnsi="Times New Roman" w:cs="Times New Roman"/>
          <w:sz w:val="24"/>
          <w:szCs w:val="24"/>
        </w:rPr>
        <w:t xml:space="preserve">услуг; в случае если ни по одному виду деятельности выручка (доход) не превышает 50 процентов 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общей суммы выручки (дохо</w:t>
      </w:r>
      <w:r>
        <w:rPr>
          <w:rFonts w:ascii="Times New Roman" w:hAnsi="Times New Roman" w:cs="Times New Roman"/>
          <w:sz w:val="24"/>
          <w:szCs w:val="24"/>
        </w:rPr>
        <w:t xml:space="preserve">да) от реализации товаров, работ и услуг, выручка (доход) от видов деятельности, относящихся к одному разделу Общероссийского классификатора видов экономической деятельности (ОК 029-2014 (КДЕС Ред. 2), суммируется. Поддержка может быть оказана, если сумма </w:t>
      </w:r>
      <w:r>
        <w:rPr>
          <w:rFonts w:ascii="Times New Roman" w:hAnsi="Times New Roman" w:cs="Times New Roman"/>
          <w:sz w:val="24"/>
          <w:szCs w:val="24"/>
        </w:rPr>
        <w:t xml:space="preserve">выручки (дохода) по разделам Общероссийского классификатора видов экономической деятельности (ОК 029-2014 (КДЕС Ред. 2), указанным в файле «Категория получателей», превышает 50 процентов от общей суммы выручки (дохода) от реализации товаров, работ и услуг.</w:t>
      </w:r>
      <w:r>
        <w:rPr>
          <w:rFonts w:ascii="Times New Roman" w:hAnsi="Times New Roman"/>
          <w:sz w:val="22"/>
          <w:szCs w:val="22"/>
        </w:rPr>
        <w:t xml:space="preserve"> 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879" w:right="567" w:bottom="850" w:left="1134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8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8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8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8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8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8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8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8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8">
    <w:name w:val="Heading 1"/>
    <w:basedOn w:val="836"/>
    <w:next w:val="836"/>
    <w:link w:val="659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9">
    <w:name w:val="Heading 1 Char"/>
    <w:link w:val="658"/>
    <w:uiPriority w:val="9"/>
    <w:rPr>
      <w:rFonts w:ascii="Arial" w:hAnsi="Arial" w:eastAsia="Arial" w:cs="Arial"/>
      <w:sz w:val="40"/>
      <w:szCs w:val="40"/>
    </w:rPr>
  </w:style>
  <w:style w:type="paragraph" w:styleId="660">
    <w:name w:val="Heading 2"/>
    <w:basedOn w:val="836"/>
    <w:next w:val="836"/>
    <w:link w:val="661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1">
    <w:name w:val="Heading 2 Char"/>
    <w:link w:val="660"/>
    <w:uiPriority w:val="9"/>
    <w:rPr>
      <w:rFonts w:ascii="Arial" w:hAnsi="Arial" w:eastAsia="Arial" w:cs="Arial"/>
      <w:sz w:val="34"/>
    </w:rPr>
  </w:style>
  <w:style w:type="paragraph" w:styleId="662">
    <w:name w:val="Heading 3"/>
    <w:basedOn w:val="836"/>
    <w:next w:val="836"/>
    <w:link w:val="663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3">
    <w:name w:val="Heading 3 Char"/>
    <w:link w:val="662"/>
    <w:uiPriority w:val="9"/>
    <w:rPr>
      <w:rFonts w:ascii="Arial" w:hAnsi="Arial" w:eastAsia="Arial" w:cs="Arial"/>
      <w:sz w:val="30"/>
      <w:szCs w:val="30"/>
    </w:rPr>
  </w:style>
  <w:style w:type="paragraph" w:styleId="664">
    <w:name w:val="Heading 4"/>
    <w:basedOn w:val="836"/>
    <w:next w:val="836"/>
    <w:link w:val="66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5">
    <w:name w:val="Heading 4 Char"/>
    <w:link w:val="664"/>
    <w:uiPriority w:val="9"/>
    <w:rPr>
      <w:rFonts w:ascii="Arial" w:hAnsi="Arial" w:eastAsia="Arial" w:cs="Arial"/>
      <w:b/>
      <w:bCs/>
      <w:sz w:val="26"/>
      <w:szCs w:val="26"/>
    </w:rPr>
  </w:style>
  <w:style w:type="paragraph" w:styleId="666">
    <w:name w:val="Heading 5"/>
    <w:basedOn w:val="836"/>
    <w:next w:val="836"/>
    <w:link w:val="66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7">
    <w:name w:val="Heading 5 Char"/>
    <w:link w:val="666"/>
    <w:uiPriority w:val="9"/>
    <w:rPr>
      <w:rFonts w:ascii="Arial" w:hAnsi="Arial" w:eastAsia="Arial" w:cs="Arial"/>
      <w:b/>
      <w:bCs/>
      <w:sz w:val="24"/>
      <w:szCs w:val="24"/>
    </w:rPr>
  </w:style>
  <w:style w:type="paragraph" w:styleId="668">
    <w:name w:val="Heading 6"/>
    <w:basedOn w:val="836"/>
    <w:next w:val="836"/>
    <w:link w:val="66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9">
    <w:name w:val="Heading 6 Char"/>
    <w:link w:val="668"/>
    <w:uiPriority w:val="9"/>
    <w:rPr>
      <w:rFonts w:ascii="Arial" w:hAnsi="Arial" w:eastAsia="Arial" w:cs="Arial"/>
      <w:b/>
      <w:bCs/>
      <w:sz w:val="22"/>
      <w:szCs w:val="22"/>
    </w:rPr>
  </w:style>
  <w:style w:type="paragraph" w:styleId="670">
    <w:name w:val="Heading 7"/>
    <w:basedOn w:val="836"/>
    <w:next w:val="836"/>
    <w:link w:val="67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1">
    <w:name w:val="Heading 7 Char"/>
    <w:link w:val="67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2">
    <w:name w:val="Heading 8"/>
    <w:basedOn w:val="836"/>
    <w:next w:val="836"/>
    <w:link w:val="67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3">
    <w:name w:val="Heading 8 Char"/>
    <w:link w:val="672"/>
    <w:uiPriority w:val="9"/>
    <w:rPr>
      <w:rFonts w:ascii="Arial" w:hAnsi="Arial" w:eastAsia="Arial" w:cs="Arial"/>
      <w:i/>
      <w:iCs/>
      <w:sz w:val="22"/>
      <w:szCs w:val="22"/>
    </w:rPr>
  </w:style>
  <w:style w:type="paragraph" w:styleId="674">
    <w:name w:val="Heading 9"/>
    <w:basedOn w:val="836"/>
    <w:next w:val="836"/>
    <w:link w:val="67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5">
    <w:name w:val="Heading 9 Char"/>
    <w:link w:val="674"/>
    <w:uiPriority w:val="9"/>
    <w:rPr>
      <w:rFonts w:ascii="Arial" w:hAnsi="Arial" w:eastAsia="Arial" w:cs="Arial"/>
      <w:i/>
      <w:iCs/>
      <w:sz w:val="21"/>
      <w:szCs w:val="21"/>
    </w:rPr>
  </w:style>
  <w:style w:type="paragraph" w:styleId="676">
    <w:name w:val="List Paragraph"/>
    <w:basedOn w:val="836"/>
    <w:uiPriority w:val="34"/>
    <w:qFormat/>
    <w:pPr>
      <w:contextualSpacing/>
      <w:ind w:left="720"/>
    </w:pPr>
  </w:style>
  <w:style w:type="paragraph" w:styleId="677">
    <w:name w:val="No Spacing"/>
    <w:uiPriority w:val="1"/>
    <w:qFormat/>
    <w:pPr>
      <w:spacing w:before="0" w:after="0" w:line="240" w:lineRule="auto"/>
    </w:pPr>
  </w:style>
  <w:style w:type="paragraph" w:styleId="678">
    <w:name w:val="Title"/>
    <w:basedOn w:val="836"/>
    <w:next w:val="836"/>
    <w:link w:val="679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9">
    <w:name w:val="Title Char"/>
    <w:link w:val="678"/>
    <w:uiPriority w:val="10"/>
    <w:rPr>
      <w:sz w:val="48"/>
      <w:szCs w:val="48"/>
    </w:rPr>
  </w:style>
  <w:style w:type="paragraph" w:styleId="680">
    <w:name w:val="Subtitle"/>
    <w:basedOn w:val="836"/>
    <w:next w:val="836"/>
    <w:link w:val="681"/>
    <w:uiPriority w:val="11"/>
    <w:qFormat/>
    <w:pPr>
      <w:spacing w:before="200" w:after="200"/>
    </w:pPr>
    <w:rPr>
      <w:sz w:val="24"/>
      <w:szCs w:val="24"/>
    </w:rPr>
  </w:style>
  <w:style w:type="character" w:styleId="681">
    <w:name w:val="Subtitle Char"/>
    <w:link w:val="680"/>
    <w:uiPriority w:val="11"/>
    <w:rPr>
      <w:sz w:val="24"/>
      <w:szCs w:val="24"/>
    </w:rPr>
  </w:style>
  <w:style w:type="paragraph" w:styleId="682">
    <w:name w:val="Quote"/>
    <w:basedOn w:val="836"/>
    <w:next w:val="836"/>
    <w:link w:val="683"/>
    <w:uiPriority w:val="29"/>
    <w:qFormat/>
    <w:pPr>
      <w:ind w:left="720" w:right="720"/>
    </w:pPr>
    <w:rPr>
      <w:i/>
    </w:rPr>
  </w:style>
  <w:style w:type="character" w:styleId="683">
    <w:name w:val="Quote Char"/>
    <w:link w:val="682"/>
    <w:uiPriority w:val="29"/>
    <w:rPr>
      <w:i/>
    </w:rPr>
  </w:style>
  <w:style w:type="paragraph" w:styleId="684">
    <w:name w:val="Intense Quote"/>
    <w:basedOn w:val="836"/>
    <w:next w:val="836"/>
    <w:link w:val="685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5">
    <w:name w:val="Intense Quote Char"/>
    <w:link w:val="684"/>
    <w:uiPriority w:val="30"/>
    <w:rPr>
      <w:i/>
    </w:rPr>
  </w:style>
  <w:style w:type="paragraph" w:styleId="686">
    <w:name w:val="Header"/>
    <w:basedOn w:val="836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7">
    <w:name w:val="Header Char"/>
    <w:link w:val="686"/>
    <w:uiPriority w:val="99"/>
  </w:style>
  <w:style w:type="paragraph" w:styleId="688">
    <w:name w:val="Footer"/>
    <w:basedOn w:val="836"/>
    <w:link w:val="69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9">
    <w:name w:val="Footer Char"/>
    <w:link w:val="688"/>
    <w:uiPriority w:val="99"/>
  </w:style>
  <w:style w:type="paragraph" w:styleId="690">
    <w:name w:val="Caption"/>
    <w:basedOn w:val="836"/>
    <w:next w:val="83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1">
    <w:name w:val="Caption Char"/>
    <w:basedOn w:val="690"/>
    <w:link w:val="688"/>
    <w:uiPriority w:val="99"/>
  </w:style>
  <w:style w:type="table" w:styleId="692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3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4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5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6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7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9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1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2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3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4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5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6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7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8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0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1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4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5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6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7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8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9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0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1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6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7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8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9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0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1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2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4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5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6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7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8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9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0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1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2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3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4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5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6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7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8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9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0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1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2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3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4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5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6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7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8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9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0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1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2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3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4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5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6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7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8">
    <w:name w:val="Hyperlink"/>
    <w:uiPriority w:val="99"/>
    <w:unhideWhenUsed/>
    <w:rPr>
      <w:color w:val="0000ff" w:themeColor="hyperlink"/>
      <w:u w:val="single"/>
    </w:rPr>
  </w:style>
  <w:style w:type="paragraph" w:styleId="819">
    <w:name w:val="footnote text"/>
    <w:basedOn w:val="836"/>
    <w:link w:val="820"/>
    <w:uiPriority w:val="99"/>
    <w:semiHidden/>
    <w:unhideWhenUsed/>
    <w:pPr>
      <w:spacing w:after="40" w:line="240" w:lineRule="auto"/>
    </w:pPr>
    <w:rPr>
      <w:sz w:val="18"/>
    </w:rPr>
  </w:style>
  <w:style w:type="character" w:styleId="820">
    <w:name w:val="Footnote Text Char"/>
    <w:link w:val="819"/>
    <w:uiPriority w:val="99"/>
    <w:rPr>
      <w:sz w:val="18"/>
    </w:rPr>
  </w:style>
  <w:style w:type="character" w:styleId="821">
    <w:name w:val="footnote reference"/>
    <w:uiPriority w:val="99"/>
    <w:unhideWhenUsed/>
    <w:rPr>
      <w:vertAlign w:val="superscript"/>
    </w:rPr>
  </w:style>
  <w:style w:type="paragraph" w:styleId="822">
    <w:name w:val="endnote text"/>
    <w:basedOn w:val="836"/>
    <w:link w:val="823"/>
    <w:uiPriority w:val="99"/>
    <w:semiHidden/>
    <w:unhideWhenUsed/>
    <w:pPr>
      <w:spacing w:after="0" w:line="240" w:lineRule="auto"/>
    </w:pPr>
    <w:rPr>
      <w:sz w:val="20"/>
    </w:rPr>
  </w:style>
  <w:style w:type="character" w:styleId="823">
    <w:name w:val="Endnote Text Char"/>
    <w:link w:val="822"/>
    <w:uiPriority w:val="99"/>
    <w:rPr>
      <w:sz w:val="20"/>
    </w:rPr>
  </w:style>
  <w:style w:type="character" w:styleId="824">
    <w:name w:val="endnote reference"/>
    <w:uiPriority w:val="99"/>
    <w:semiHidden/>
    <w:unhideWhenUsed/>
    <w:rPr>
      <w:vertAlign w:val="superscript"/>
    </w:rPr>
  </w:style>
  <w:style w:type="paragraph" w:styleId="825">
    <w:name w:val="toc 1"/>
    <w:basedOn w:val="836"/>
    <w:next w:val="836"/>
    <w:uiPriority w:val="39"/>
    <w:unhideWhenUsed/>
    <w:pPr>
      <w:ind w:left="0" w:right="0" w:firstLine="0"/>
      <w:spacing w:after="57"/>
    </w:pPr>
  </w:style>
  <w:style w:type="paragraph" w:styleId="826">
    <w:name w:val="toc 2"/>
    <w:basedOn w:val="836"/>
    <w:next w:val="836"/>
    <w:uiPriority w:val="39"/>
    <w:unhideWhenUsed/>
    <w:pPr>
      <w:ind w:left="283" w:right="0" w:firstLine="0"/>
      <w:spacing w:after="57"/>
    </w:pPr>
  </w:style>
  <w:style w:type="paragraph" w:styleId="827">
    <w:name w:val="toc 3"/>
    <w:basedOn w:val="836"/>
    <w:next w:val="836"/>
    <w:uiPriority w:val="39"/>
    <w:unhideWhenUsed/>
    <w:pPr>
      <w:ind w:left="567" w:right="0" w:firstLine="0"/>
      <w:spacing w:after="57"/>
    </w:pPr>
  </w:style>
  <w:style w:type="paragraph" w:styleId="828">
    <w:name w:val="toc 4"/>
    <w:basedOn w:val="836"/>
    <w:next w:val="836"/>
    <w:uiPriority w:val="39"/>
    <w:unhideWhenUsed/>
    <w:pPr>
      <w:ind w:left="850" w:right="0" w:firstLine="0"/>
      <w:spacing w:after="57"/>
    </w:pPr>
  </w:style>
  <w:style w:type="paragraph" w:styleId="829">
    <w:name w:val="toc 5"/>
    <w:basedOn w:val="836"/>
    <w:next w:val="836"/>
    <w:uiPriority w:val="39"/>
    <w:unhideWhenUsed/>
    <w:pPr>
      <w:ind w:left="1134" w:right="0" w:firstLine="0"/>
      <w:spacing w:after="57"/>
    </w:pPr>
  </w:style>
  <w:style w:type="paragraph" w:styleId="830">
    <w:name w:val="toc 6"/>
    <w:basedOn w:val="836"/>
    <w:next w:val="836"/>
    <w:uiPriority w:val="39"/>
    <w:unhideWhenUsed/>
    <w:pPr>
      <w:ind w:left="1417" w:right="0" w:firstLine="0"/>
      <w:spacing w:after="57"/>
    </w:pPr>
  </w:style>
  <w:style w:type="paragraph" w:styleId="831">
    <w:name w:val="toc 7"/>
    <w:basedOn w:val="836"/>
    <w:next w:val="836"/>
    <w:uiPriority w:val="39"/>
    <w:unhideWhenUsed/>
    <w:pPr>
      <w:ind w:left="1701" w:right="0" w:firstLine="0"/>
      <w:spacing w:after="57"/>
    </w:pPr>
  </w:style>
  <w:style w:type="paragraph" w:styleId="832">
    <w:name w:val="toc 8"/>
    <w:basedOn w:val="836"/>
    <w:next w:val="836"/>
    <w:uiPriority w:val="39"/>
    <w:unhideWhenUsed/>
    <w:pPr>
      <w:ind w:left="1984" w:right="0" w:firstLine="0"/>
      <w:spacing w:after="57"/>
    </w:pPr>
  </w:style>
  <w:style w:type="paragraph" w:styleId="833">
    <w:name w:val="toc 9"/>
    <w:basedOn w:val="836"/>
    <w:next w:val="836"/>
    <w:uiPriority w:val="39"/>
    <w:unhideWhenUsed/>
    <w:pPr>
      <w:ind w:left="2268" w:right="0" w:firstLine="0"/>
      <w:spacing w:after="57"/>
    </w:pPr>
  </w:style>
  <w:style w:type="paragraph" w:styleId="834">
    <w:name w:val="TOC Heading"/>
    <w:uiPriority w:val="39"/>
    <w:unhideWhenUsed/>
  </w:style>
  <w:style w:type="paragraph" w:styleId="835">
    <w:name w:val="table of figures"/>
    <w:basedOn w:val="836"/>
    <w:next w:val="836"/>
    <w:uiPriority w:val="99"/>
    <w:unhideWhenUsed/>
    <w:pPr>
      <w:spacing w:after="0" w:afterAutospacing="0"/>
    </w:pPr>
  </w:style>
  <w:style w:type="paragraph" w:styleId="836" w:default="1">
    <w:name w:val="Normal"/>
    <w:next w:val="836"/>
    <w:link w:val="836"/>
    <w:qFormat/>
    <w:pPr>
      <w:spacing w:after="200" w:line="276" w:lineRule="auto"/>
    </w:pPr>
    <w:rPr>
      <w:sz w:val="22"/>
      <w:szCs w:val="22"/>
      <w:lang w:val="ru-RU" w:eastAsia="en-US" w:bidi="ar-SA"/>
    </w:rPr>
  </w:style>
  <w:style w:type="character" w:styleId="837">
    <w:name w:val="Основной шрифт абзаца"/>
    <w:next w:val="837"/>
    <w:link w:val="836"/>
    <w:uiPriority w:val="1"/>
    <w:semiHidden/>
    <w:unhideWhenUsed/>
  </w:style>
  <w:style w:type="table" w:styleId="838">
    <w:name w:val="Обычная таблица"/>
    <w:next w:val="838"/>
    <w:link w:val="836"/>
    <w:uiPriority w:val="99"/>
    <w:semiHidden/>
    <w:unhideWhenUsed/>
    <w:tblPr/>
  </w:style>
  <w:style w:type="numbering" w:styleId="839">
    <w:name w:val="Нет списка"/>
    <w:next w:val="839"/>
    <w:link w:val="836"/>
    <w:uiPriority w:val="99"/>
    <w:semiHidden/>
    <w:unhideWhenUsed/>
  </w:style>
  <w:style w:type="paragraph" w:styleId="840">
    <w:name w:val="ConsPlusNormal"/>
    <w:next w:val="840"/>
    <w:link w:val="836"/>
    <w:pPr>
      <w:ind w:firstLine="720"/>
      <w:widowControl w:val="off"/>
    </w:pPr>
    <w:rPr>
      <w:rFonts w:ascii="Arial" w:hAnsi="Arial" w:eastAsia="Times New Roman" w:cs="Arial"/>
      <w:lang w:val="ru-RU" w:eastAsia="ru-RU" w:bidi="ar-SA"/>
    </w:rPr>
  </w:style>
  <w:style w:type="paragraph" w:styleId="841">
    <w:name w:val="Текст выноски"/>
    <w:basedOn w:val="836"/>
    <w:next w:val="841"/>
    <w:link w:val="842"/>
    <w:uiPriority w:val="99"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42">
    <w:name w:val="Текст выноски Знак"/>
    <w:next w:val="842"/>
    <w:link w:val="841"/>
    <w:uiPriority w:val="99"/>
    <w:rPr>
      <w:rFonts w:ascii="Tahoma" w:hAnsi="Tahoma" w:cs="Tahoma"/>
      <w:sz w:val="16"/>
      <w:szCs w:val="16"/>
      <w:lang w:eastAsia="en-US"/>
    </w:rPr>
  </w:style>
  <w:style w:type="table" w:styleId="843">
    <w:name w:val="Сетка таблицы"/>
    <w:basedOn w:val="838"/>
    <w:next w:val="843"/>
    <w:link w:val="836"/>
    <w:uiPriority w:val="59"/>
    <w:rPr>
      <w:rFonts w:ascii="Calibri" w:hAnsi="Calibri" w:eastAsia="Calibri" w:cs="Times New Roman"/>
      <w:sz w:val="22"/>
      <w:szCs w:val="22"/>
      <w:lang w:eastAsia="en-US"/>
    </w:rPr>
    <w:tblPr/>
  </w:style>
  <w:style w:type="paragraph" w:styleId="844">
    <w:name w:val="Верхний колонтитул"/>
    <w:basedOn w:val="836"/>
    <w:next w:val="844"/>
    <w:link w:val="845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45">
    <w:name w:val="Верхний колонтитул Знак"/>
    <w:next w:val="845"/>
    <w:link w:val="844"/>
    <w:uiPriority w:val="99"/>
    <w:rPr>
      <w:sz w:val="22"/>
      <w:szCs w:val="22"/>
      <w:lang w:eastAsia="en-US"/>
    </w:rPr>
  </w:style>
  <w:style w:type="paragraph" w:styleId="846">
    <w:name w:val="Нижний колонтитул"/>
    <w:basedOn w:val="836"/>
    <w:next w:val="846"/>
    <w:link w:val="847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47">
    <w:name w:val="Нижний колонтитул Знак"/>
    <w:next w:val="847"/>
    <w:link w:val="846"/>
    <w:uiPriority w:val="99"/>
    <w:rPr>
      <w:sz w:val="22"/>
      <w:szCs w:val="22"/>
      <w:lang w:eastAsia="en-US"/>
    </w:rPr>
  </w:style>
  <w:style w:type="character" w:styleId="848" w:default="1">
    <w:name w:val="Default Paragraph Font"/>
    <w:uiPriority w:val="1"/>
    <w:semiHidden/>
    <w:unhideWhenUsed/>
  </w:style>
  <w:style w:type="numbering" w:styleId="849" w:default="1">
    <w:name w:val="No List"/>
    <w:uiPriority w:val="99"/>
    <w:semiHidden/>
    <w:unhideWhenUsed/>
  </w:style>
  <w:style w:type="table" w:styleId="850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Шевченко Ольга Вячеславовна</dc:creator>
  <cp:revision>5</cp:revision>
  <dcterms:created xsi:type="dcterms:W3CDTF">2021-08-10T09:01:00Z</dcterms:created>
  <dcterms:modified xsi:type="dcterms:W3CDTF">2024-08-15T05:31:35Z</dcterms:modified>
  <cp:version>1048576</cp:version>
</cp:coreProperties>
</file>