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предоставления субсидии на во</w:t>
      </w:r>
      <w:r>
        <w:rPr>
          <w:rFonts w:ascii="Times New Roman" w:hAnsi="Times New Roman" w:cs="Times New Roman"/>
          <w:b/>
          <w:sz w:val="28"/>
          <w:szCs w:val="28"/>
        </w:rPr>
        <w:t xml:space="preserve">змещение части затрат субъектов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малого и среднего предпринимательства, связанных с приобретением и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(или) лизингом оборудования в целях создания и (или) развития либо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модернизации производства товаров (работ, услуг)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Копии документов по финансово-хозяйственной деятельности участника отбора: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юридические лица, применяющие общую систему налогообложения, представляют отчет о финансовых результатах за последний финансовый год с</w:t>
      </w:r>
      <w:r>
        <w:rPr>
          <w:rFonts w:ascii="Times New Roman" w:hAnsi="Times New Roman" w:cs="Times New Roman"/>
          <w:sz w:val="28"/>
          <w:szCs w:val="28"/>
        </w:rPr>
        <w:t xml:space="preserve"> отметкой налогового органа</w:t>
      </w:r>
      <w:r>
        <w:rPr>
          <w:rFonts w:ascii="Times New Roman" w:hAnsi="Times New Roman" w:cs="Times New Roman"/>
          <w:sz w:val="28"/>
          <w:szCs w:val="28"/>
        </w:rPr>
        <w:t xml:space="preserve">*;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отбора, применяющие упрощенную систему налогообложения, представляют налоговые декларации за последний финансовый г</w:t>
      </w:r>
      <w:r>
        <w:rPr>
          <w:rFonts w:ascii="Times New Roman" w:hAnsi="Times New Roman" w:cs="Times New Roman"/>
          <w:sz w:val="28"/>
          <w:szCs w:val="28"/>
        </w:rPr>
        <w:t xml:space="preserve">од с отметкой налогового органа</w:t>
      </w:r>
      <w:r>
        <w:rPr>
          <w:rFonts w:ascii="Times New Roman" w:hAnsi="Times New Roman" w:cs="Times New Roman"/>
          <w:sz w:val="28"/>
          <w:szCs w:val="28"/>
        </w:rPr>
        <w:t xml:space="preserve">*;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применяющие общую систему налогообложения, представляют налоговые декларации с отметкой налогового органа з</w:t>
      </w:r>
      <w:r>
        <w:rPr>
          <w:rFonts w:ascii="Times New Roman" w:hAnsi="Times New Roman" w:cs="Times New Roman"/>
          <w:sz w:val="28"/>
          <w:szCs w:val="28"/>
        </w:rPr>
        <w:t xml:space="preserve">а два последних финансовых года</w:t>
      </w:r>
      <w:r>
        <w:rPr>
          <w:rFonts w:ascii="Times New Roman" w:hAnsi="Times New Roman" w:cs="Times New Roman"/>
          <w:sz w:val="28"/>
          <w:szCs w:val="28"/>
        </w:rPr>
        <w:t xml:space="preserve">*.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отбора, применяющие систему налогообложения для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сельскохозяйственных товаропроизводителей (единый сельскохозяйственный налог), представляют налоговую декларацию за последний финансовый г</w:t>
      </w:r>
      <w:r>
        <w:rPr>
          <w:rFonts w:ascii="Times New Roman" w:hAnsi="Times New Roman" w:cs="Times New Roman"/>
          <w:sz w:val="28"/>
          <w:szCs w:val="28"/>
        </w:rPr>
        <w:t xml:space="preserve">од с отметкой налогового органа</w:t>
      </w:r>
      <w:r>
        <w:rPr>
          <w:rFonts w:ascii="Times New Roman" w:hAnsi="Times New Roman" w:cs="Times New Roman"/>
          <w:sz w:val="28"/>
          <w:szCs w:val="28"/>
        </w:rPr>
        <w:t xml:space="preserve">*.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индивидуальные предприниматели, применяющие патентную систему налогообложения, представляют Книгу учета доходов индивидуальных предпринимателей, применяющих патентную систему налогообложения,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форме, утвержденной приказом Федеральной налоговой службы 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07.11.2023 № ЕА-7-3/816@ «Об утверждении форм Книги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Кн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иги учета доходов и расходов организаций 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а также порядков их заполнения».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Акт сверки принадлежности сумм денежных средств, перечисленных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(или) признаваемых в качестве единого налогового платежа, либо сумм денежных средств, перечисленных не в качестве единого налогового платежа (форма по КНД 1160070), по форме, утвержденной приказом Федеральной налоговой службы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21.06.2023 № ЕД-7-19/402@ «Об утверждении формы акта сверки принадлежности сумм денежных средств, перечисленных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(или)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признаваемых в качестве единого налогового платежа, либо сумм денежных средств, перечисленных не в качестве единого налогового платежа,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формата его представления в электронной форме», за год, пр</w:t>
      </w:r>
      <w:r>
        <w:rPr>
          <w:rFonts w:ascii="Times New Roman" w:hAnsi="Times New Roman" w:cs="Times New Roman"/>
          <w:sz w:val="28"/>
          <w:szCs w:val="28"/>
        </w:rPr>
        <w:t xml:space="preserve">едшествующий году подачи заявки</w:t>
      </w:r>
      <w:r>
        <w:rPr>
          <w:rFonts w:ascii="Times New Roman" w:hAnsi="Times New Roman" w:cs="Times New Roman"/>
          <w:sz w:val="28"/>
          <w:szCs w:val="28"/>
        </w:rPr>
        <w:t xml:space="preserve">**.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С</w:t>
      </w:r>
      <w:hyperlink r:id="rId11" w:tooltip="https://login.consultant.ru/link/?req=doc&amp;base=LAW&amp;n=442879&amp;dst=100050" w:history="1">
        <w:r>
          <w:rPr>
            <w:rFonts w:ascii="Times New Roman" w:hAnsi="Times New Roman" w:cs="Times New Roman"/>
            <w:sz w:val="28"/>
            <w:szCs w:val="28"/>
          </w:rPr>
          <w:t xml:space="preserve">правка-подтверждение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основного вида экономической деятельности (приложение № 2 к Порядку подтверждения основного вида экономической деятельности страхователя по обязательному социальному страхованию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несчастных случаев на производстве и профессиональных заболеваний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31.01.2006 № 55) за последний финансовый год, подписанная участником отбора.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Форма расчета по страховым взносам за предшествующий календарный год, утвержденная приказом Федеральной налоговой службы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29.09.2022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 ЕД-7-11/878@ «Об утверждении форм расчета по страховым взносам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персонифицированных сведений о физических лицах, порядков их заполнения, 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также форматов их пре</w:t>
      </w:r>
      <w:r>
        <w:rPr>
          <w:rFonts w:ascii="Times New Roman" w:hAnsi="Times New Roman" w:cs="Times New Roman"/>
          <w:sz w:val="28"/>
          <w:szCs w:val="28"/>
        </w:rPr>
        <w:t xml:space="preserve">дставления в электронной форме»</w:t>
      </w:r>
      <w:r>
        <w:rPr>
          <w:rFonts w:ascii="Times New Roman" w:hAnsi="Times New Roman" w:cs="Times New Roman"/>
          <w:sz w:val="28"/>
          <w:szCs w:val="28"/>
        </w:rPr>
        <w:t xml:space="preserve">***.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Таблицы экономических показателей деятельности субъектов малого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субъекты МСП)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применяемой системы налогообложения по форме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приложением № 1 к настоящему перечню.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Копии договоров купли-продажи (поставки) оборудования или счетов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актов приема-передачи оборудования или товарных накладных и (или) копия (копии) договора (договоров) лизинга.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Копия акта приема-передачи предмета лизинга или товарной накладной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предмет лизинга (для лизинга оборудования).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Копии платежных документов, подтверждающих затраты на приобретение оборудования и (или) уплату платежей по договору (договорам) лизинга.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Копия документа, подтверждающего дату производства приобретенного оборудования и (или) предмета лизинга.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Технико-экономическое обоснование приобретения и (или) лизинга оборудования в целях создания и (или) развития, и (или) модернизации производства товаров (работ, услуг), подписанное участником отбора.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Копии документов, подтверждающих постановку на учет приобретенного оборудования (для приобретения оборудования):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юридических лиц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акт ввода в эксплуатацию и (или) приказ о вводе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  </w:t>
      </w:r>
      <w:r>
        <w:rPr>
          <w:rFonts w:ascii="Times New Roman" w:hAnsi="Times New Roman" w:cs="Times New Roman"/>
          <w:sz w:val="28"/>
          <w:szCs w:val="28"/>
        </w:rPr>
        <w:t xml:space="preserve">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, оборотная ведомость основных средств за год, в котором приобретено оборудование;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акт ввода в эксплуатацию и (или) приказ о вводе в эксплуатацию, </w:t>
      </w:r>
      <w:r>
        <w:rPr>
          <w:rFonts w:ascii="Times New Roman" w:hAnsi="Times New Roman" w:cs="Times New Roman"/>
          <w:sz w:val="28"/>
          <w:szCs w:val="28"/>
        </w:rPr>
        <w:t xml:space="preserve">раздел II книги учета доходов и расходов</w:t>
      </w:r>
      <w:r>
        <w:rPr>
          <w:rFonts w:ascii="Times New Roman" w:hAnsi="Times New Roman" w:cs="Times New Roman"/>
          <w:sz w:val="28"/>
          <w:szCs w:val="28"/>
        </w:rPr>
        <w:t xml:space="preserve"> за год,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котором приобретено оборудование;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Обязательство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участника отбора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субсидии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возмещение части затрат субъектов малого и среднего предпринимательства, связанных с приобретением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лизингом оборудования в целях создания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(или) развития либо модернизации производства товаров (работ, услуг),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результатам предоставления субсидии по форме в соответствии с приложением № 2 к настоящему перечню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Заявление о соответствии вновь созданного юридического лица и вновь зарегистрированного индивидуального предпринимателя (в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отметкой в едином реестре субъектов МСП) условиям отнесения к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субъектам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МСП, установленным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24.07.2007 № 209-ФЗ «О развитии малого и среднего предпринимательства в Российской Федерации», по форме,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приказом Министерств</w:t>
      </w:r>
      <w:r>
        <w:rPr>
          <w:rFonts w:ascii="Times New Roman" w:hAnsi="Times New Roman" w:cs="Times New Roman"/>
          <w:sz w:val="28"/>
          <w:szCs w:val="28"/>
        </w:rPr>
        <w:t xml:space="preserve">а экономического развития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10.03.2016 № 113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формы заявления 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вновь созданного юридического лица и вновь зарегистрированного индивидуального предпринимателя условиям отнесения к субъектам малого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предпринимательства, установленным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24 июля 2007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г. № 209-ФЗ «О развитии малого и среднего предпринимательства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*Министерство промышленности, торговли и развития предпринимательства Новосибирской области (далее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Министерство) использует данные, опубликованные на государственном информационном ресурсе бухгалтерской (финансовой) отчетности </w:t>
      </w:r>
      <w:hyperlink r:id="rId12" w:tooltip="https://bo.nalog.ru" w:history="1">
        <w:r>
          <w:rPr>
            <w:rStyle w:val="849"/>
            <w:rFonts w:ascii="Times New Roman" w:hAnsi="Times New Roman" w:cs="Times New Roman"/>
            <w:sz w:val="24"/>
            <w:szCs w:val="24"/>
          </w:rPr>
          <w:t xml:space="preserve">https://bo.nalog.ru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(далее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ГИР БО) в качестве источника информации о суммах доходов и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расходов организаций.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случае отсутствия в ГИР БО на момент подачи заявки информации о сумме доходов и расходов участника отбора за год, предшествующий году предоставления субсидии, участник отбора вправе приложить указанный документ 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собственной инициативе к заявке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в государственной интегрированной информационной системе управления общественными финансами «Электронный бюджет» (далее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ГИИС «Электронный бюджет»).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40" w:lineRule="auto"/>
        <w:ind w:left="0" w:right="0" w:firstLine="708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u w:val="singl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В случае отсутствия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информации в ГИР БО и непредставления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в составе заявки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</w:rPr>
        <w:t xml:space="preserve">в ГИИС «Электронный бюджет»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участником отбора указанного документа по собственной инициативе, поддержка не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может быть предоставл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ена.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u w:val="singl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u w:val="single"/>
          <w14:ligatures w14:val="non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**Министерство использует данные, опубликованные на портале «Прозрачный бизнес» https://pb.nalog.ru/ (далее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портал) в качестве источника информации о суммах уплаченных налогов организаций.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случае отсутствия на портале на момент подачи заявки информации о суммах уплаченных налогов по участнику отбора за год, предшествующий году предоставления субсидии, участник отбора вправе приложить указанный документ по собственной инициативе к заявке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в ГИИС «Электронный бюджет».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40" w:lineRule="auto"/>
        <w:ind w:left="0" w:right="0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В случае отсутствия информации на портале и непредставления в составе зая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вки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</w:rPr>
        <w:t xml:space="preserve">в ГИИС «Электронный бюджет»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участником отбора указанного документа по собственной инициативе, поддержка не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может быть предоставлена.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***Указанный документ (информация) запрашиваетс</w:t>
      </w:r>
      <w:r>
        <w:rPr>
          <w:rFonts w:ascii="Times New Roman" w:hAnsi="Times New Roman" w:cs="Times New Roman"/>
          <w:sz w:val="24"/>
          <w:szCs w:val="24"/>
        </w:rPr>
        <w:t xml:space="preserve">я Министерством в порядке межведомственного взаимодействия не позднее пяти рабочих дней после окончания срока приема заявок. При этом заявитель вправе приложить указанный документ (информацию) к заявке в ГИИС «Электронный бюджет» по собственной инициативе.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850" w:right="567" w:bottom="850" w:left="1417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  <w:jc w:val="center"/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eastAsia="Times New Roman" w:cs="Times New Roman"/>
        <w:sz w:val="20"/>
        <w:szCs w:val="20"/>
      </w:rPr>
    </w:r>
  </w:p>
  <w:p>
    <w:pPr>
      <w:pStyle w:val="7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>
    <w:name w:val="Heading 1"/>
    <w:basedOn w:val="867"/>
    <w:next w:val="867"/>
    <w:link w:val="692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2">
    <w:name w:val="Heading 1 Char"/>
    <w:link w:val="691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7"/>
    <w:next w:val="867"/>
    <w:link w:val="694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7"/>
    <w:next w:val="867"/>
    <w:link w:val="696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7"/>
    <w:next w:val="867"/>
    <w:link w:val="698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7"/>
    <w:next w:val="867"/>
    <w:link w:val="70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7"/>
    <w:next w:val="867"/>
    <w:link w:val="702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7"/>
    <w:next w:val="867"/>
    <w:link w:val="704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7"/>
    <w:next w:val="867"/>
    <w:link w:val="706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7"/>
    <w:next w:val="867"/>
    <w:link w:val="70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Title"/>
    <w:basedOn w:val="867"/>
    <w:next w:val="867"/>
    <w:link w:val="710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0">
    <w:name w:val="Title Char"/>
    <w:link w:val="709"/>
    <w:uiPriority w:val="10"/>
    <w:rPr>
      <w:sz w:val="48"/>
      <w:szCs w:val="48"/>
    </w:rPr>
  </w:style>
  <w:style w:type="paragraph" w:styleId="711">
    <w:name w:val="Subtitle"/>
    <w:basedOn w:val="867"/>
    <w:next w:val="867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link w:val="711"/>
    <w:uiPriority w:val="11"/>
    <w:rPr>
      <w:sz w:val="24"/>
      <w:szCs w:val="24"/>
    </w:rPr>
  </w:style>
  <w:style w:type="paragraph" w:styleId="713">
    <w:name w:val="Quote"/>
    <w:basedOn w:val="867"/>
    <w:next w:val="867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7"/>
    <w:next w:val="867"/>
    <w:link w:val="71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paragraph" w:styleId="717">
    <w:name w:val="Header"/>
    <w:basedOn w:val="867"/>
    <w:link w:val="718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18">
    <w:name w:val="Header Char"/>
    <w:link w:val="717"/>
    <w:uiPriority w:val="99"/>
  </w:style>
  <w:style w:type="paragraph" w:styleId="719">
    <w:name w:val="Footer"/>
    <w:basedOn w:val="867"/>
    <w:link w:val="722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0">
    <w:name w:val="Footer Char"/>
    <w:link w:val="719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719"/>
    <w:uiPriority w:val="99"/>
  </w:style>
  <w:style w:type="table" w:styleId="723">
    <w:name w:val="Table Grid"/>
    <w:basedOn w:val="86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9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60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61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62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63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64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65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6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7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9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3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4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5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6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7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8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spacing w:after="57"/>
      <w:ind w:left="0" w:right="0" w:firstLine="0"/>
    </w:pPr>
  </w:style>
  <w:style w:type="paragraph" w:styleId="857">
    <w:name w:val="toc 2"/>
    <w:basedOn w:val="867"/>
    <w:next w:val="867"/>
    <w:uiPriority w:val="39"/>
    <w:unhideWhenUsed/>
    <w:pPr>
      <w:spacing w:after="57"/>
      <w:ind w:left="283" w:right="0" w:firstLine="0"/>
    </w:pPr>
  </w:style>
  <w:style w:type="paragraph" w:styleId="858">
    <w:name w:val="toc 3"/>
    <w:basedOn w:val="867"/>
    <w:next w:val="867"/>
    <w:uiPriority w:val="39"/>
    <w:unhideWhenUsed/>
    <w:pPr>
      <w:spacing w:after="57"/>
      <w:ind w:left="567" w:right="0" w:firstLine="0"/>
    </w:pPr>
  </w:style>
  <w:style w:type="paragraph" w:styleId="859">
    <w:name w:val="toc 4"/>
    <w:basedOn w:val="867"/>
    <w:next w:val="867"/>
    <w:uiPriority w:val="39"/>
    <w:unhideWhenUsed/>
    <w:pPr>
      <w:spacing w:after="57"/>
      <w:ind w:left="850" w:right="0" w:firstLine="0"/>
    </w:pPr>
  </w:style>
  <w:style w:type="paragraph" w:styleId="860">
    <w:name w:val="toc 5"/>
    <w:basedOn w:val="867"/>
    <w:next w:val="867"/>
    <w:uiPriority w:val="39"/>
    <w:unhideWhenUsed/>
    <w:pPr>
      <w:spacing w:after="57"/>
      <w:ind w:left="1134" w:right="0" w:firstLine="0"/>
    </w:pPr>
  </w:style>
  <w:style w:type="paragraph" w:styleId="861">
    <w:name w:val="toc 6"/>
    <w:basedOn w:val="867"/>
    <w:next w:val="867"/>
    <w:uiPriority w:val="39"/>
    <w:unhideWhenUsed/>
    <w:pPr>
      <w:spacing w:after="57"/>
      <w:ind w:left="1417" w:right="0" w:firstLine="0"/>
    </w:pPr>
  </w:style>
  <w:style w:type="paragraph" w:styleId="862">
    <w:name w:val="toc 7"/>
    <w:basedOn w:val="867"/>
    <w:next w:val="867"/>
    <w:uiPriority w:val="39"/>
    <w:unhideWhenUsed/>
    <w:pPr>
      <w:spacing w:after="57"/>
      <w:ind w:left="1701" w:right="0" w:firstLine="0"/>
    </w:pPr>
  </w:style>
  <w:style w:type="paragraph" w:styleId="863">
    <w:name w:val="toc 8"/>
    <w:basedOn w:val="867"/>
    <w:next w:val="867"/>
    <w:uiPriority w:val="39"/>
    <w:unhideWhenUsed/>
    <w:pPr>
      <w:spacing w:after="57"/>
      <w:ind w:left="1984" w:right="0" w:firstLine="0"/>
    </w:pPr>
  </w:style>
  <w:style w:type="paragraph" w:styleId="864">
    <w:name w:val="toc 9"/>
    <w:basedOn w:val="867"/>
    <w:next w:val="867"/>
    <w:uiPriority w:val="39"/>
    <w:unhideWhenUsed/>
    <w:pPr>
      <w:spacing w:after="57"/>
      <w:ind w:left="2268" w:right="0" w:firstLine="0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paragraph" w:styleId="870">
    <w:name w:val="No Spacing"/>
    <w:basedOn w:val="867"/>
    <w:uiPriority w:val="1"/>
    <w:qFormat/>
    <w:pPr>
      <w:spacing w:after="0" w:line="240" w:lineRule="auto"/>
    </w:pPr>
  </w:style>
  <w:style w:type="paragraph" w:styleId="871">
    <w:name w:val="List Paragraph"/>
    <w:basedOn w:val="867"/>
    <w:uiPriority w:val="34"/>
    <w:qFormat/>
    <w:pPr>
      <w:ind w:left="720"/>
      <w:contextualSpacing/>
    </w:pPr>
  </w:style>
  <w:style w:type="character" w:styleId="87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hyperlink" Target="https://login.consultant.ru/link/?req=doc&amp;base=LAW&amp;n=442879&amp;dst=100050" TargetMode="External"/><Relationship Id="rId12" Type="http://schemas.openxmlformats.org/officeDocument/2006/relationships/hyperlink" Target="https://bo.nalog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2025-08-13T08:50:32Z</dcterms:modified>
</cp:coreProperties>
</file>