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финансовой поддержки в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возмещения части затрат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0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СП, связанных с приобретением и (или)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лизингом оборудования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0"/>
        <w:ind w:left="0" w:right="0"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целях создания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либо модернизации производства товаров (работ, услуг)</w:t>
      </w:r>
      <w:r>
        <w:rPr>
          <w:rFonts w:ascii="Times New Roman" w:hAnsi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/>
          <w:b/>
          <w:bCs/>
          <w:color w:val="000000"/>
          <w:sz w:val="32"/>
          <w:szCs w:val="32"/>
          <w:highlight w:val="none"/>
        </w:rPr>
      </w:r>
    </w:p>
    <w:p>
      <w:pPr>
        <w:pStyle w:val="840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50%</w:t>
      </w:r>
      <w:r>
        <w:rPr>
          <w:rFonts w:ascii="Times New Roman" w:hAnsi="Times New Roman" w:cs="Times New Roman"/>
          <w:sz w:val="28"/>
          <w:szCs w:val="28"/>
        </w:rPr>
        <w:t xml:space="preserve"> (для субъектов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фактически произведенных и документально подтвержденных затрат на приобретение оборудования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(без НДС*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но не более запрашиваемого размера субсидии, указанного в заявке;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20% (без НДС)* от фактически произведенных на момент подачи заявки затрат, связанных с уплатой субъектом МСП еже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месячных лизинговых платежей по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действующим на момент подачи заявки договорам лизинга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включая затраты на монтаж оборудования, но не более запрашиваемого размера</w:t>
      </w:r>
      <w:r>
        <w:rPr>
          <w:rFonts w:ascii="Times New Roman" w:hAnsi="Times New Roman" w:cs="Times New Roman"/>
          <w:sz w:val="28"/>
          <w:szCs w:val="28"/>
        </w:rPr>
        <w:t xml:space="preserve"> субсидии, указанного в заявке;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50% (без НДС*)  от первого взноса (аванса) при заключении договора лизинга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но не более запрашиваемого</w:t>
      </w:r>
      <w:r>
        <w:rPr>
          <w:rFonts w:ascii="Times New Roman" w:hAnsi="Times New Roman" w:cs="Times New Roman"/>
          <w:sz w:val="28"/>
          <w:szCs w:val="28"/>
        </w:rPr>
        <w:t xml:space="preserve"> размера субсидии, указанного в </w:t>
      </w:r>
      <w:r>
        <w:rPr>
          <w:rFonts w:ascii="Times New Roman" w:hAnsi="Times New Roman" w:cs="Times New Roman"/>
          <w:sz w:val="28"/>
          <w:szCs w:val="28"/>
        </w:rPr>
        <w:t xml:space="preserve">заявке.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расчетный размер субсидии меньше запрашиваемого размера субсидии, указанного в зая</w:t>
      </w:r>
      <w:r>
        <w:rPr>
          <w:rFonts w:ascii="Times New Roman" w:hAnsi="Times New Roman" w:cs="Times New Roman"/>
          <w:sz w:val="28"/>
          <w:szCs w:val="28"/>
        </w:rPr>
        <w:t xml:space="preserve">вке, субсидия предоставляется в </w:t>
      </w:r>
      <w:r>
        <w:rPr>
          <w:rFonts w:ascii="Times New Roman" w:hAnsi="Times New Roman" w:cs="Times New Roman"/>
          <w:sz w:val="28"/>
          <w:szCs w:val="28"/>
        </w:rPr>
        <w:t xml:space="preserve">расчетном размере.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Субсидированию подлежат затраты,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произведенные в год предоставления субсидии и за два года, предшествующих году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Сумма субсидий, указанных в подпунктах 1-3, должна составлять 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более 5,0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млн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рублей на одного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также не должна превышать размер фактически уплаченных получателем субсидии налогов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консолидированный бюджет Новосибирской области за год, предшествующий году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лизинга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приобретенное оборудование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должны быть произведены не ранее года, предшествующего году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лизинга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приобретения оборудования.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Субсидирование затрат на приобретени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оборудования осуществляется в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отношении: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оборудования, устройств, механизмов, транспортных средств (за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легковых автомобилей и воздушных судов), станков, приборов, аппаратов, агрегатов, установок,</w:t>
      </w:r>
      <w:r>
        <w:rPr>
          <w:rFonts w:ascii="Times New Roman" w:hAnsi="Times New Roman" w:cs="Times New Roman"/>
          <w:sz w:val="28"/>
          <w:szCs w:val="28"/>
        </w:rPr>
        <w:t xml:space="preserve"> машин, относящихся ко второй и </w:t>
      </w:r>
      <w:r>
        <w:rPr>
          <w:rFonts w:ascii="Times New Roman" w:hAnsi="Times New Roman" w:cs="Times New Roman"/>
          <w:sz w:val="28"/>
          <w:szCs w:val="28"/>
        </w:rPr>
        <w:t xml:space="preserve">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01.01.2002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 «О 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Классификации основных средств, включаемых в амортизационные группы»,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исключением оборудования, предназначенн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для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оптовой и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розничной торговой деятельности субъектами МСП.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на возмещение части затрат на 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лизинг оборудования,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используемого для осно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вной деятельности субъектов МСП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**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предоставлении субсидии не подл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ежат субсидированию затраты, на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субсидирование которых ранее была предо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ставлена финансовая поддержка в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осударственной программы Новосибирской области «Развитие субъектов малого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предпринимательства в 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мероприятий иных государственных или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предусматривающих в том числе оказание финансовой поддержки субъектам МСП.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</w:t>
      </w:r>
      <w:r>
        <w:rPr>
          <w:rFonts w:ascii="Times New Roman" w:hAnsi="Times New Roman" w:cs="Times New Roman"/>
          <w:sz w:val="28"/>
          <w:szCs w:val="28"/>
        </w:rPr>
        <w:t xml:space="preserve">дия перечисляется единовременно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6"/>
        <w:widowControl w:val="o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*Затраты, осуществленные в 2023</w:t>
      </w:r>
      <w:r>
        <w:rPr>
          <w:rFonts w:ascii="Times New Roman" w:hAnsi="Times New Roman" w:cs="Times New Roman"/>
          <w:sz w:val="22"/>
          <w:szCs w:val="22"/>
        </w:rPr>
        <w:t xml:space="preserve">–</w:t>
      </w:r>
      <w:r>
        <w:rPr>
          <w:rFonts w:ascii="Times New Roman" w:hAnsi="Times New Roman" w:cs="Times New Roman"/>
          <w:sz w:val="22"/>
          <w:szCs w:val="22"/>
        </w:rPr>
        <w:t xml:space="preserve">2024 гг., учитываются без НДС для субъектов МСП, применяющих общую систему налогообложения; затраты, осуществленные в</w:t>
      </w:r>
      <w:r>
        <w:rPr>
          <w:rFonts w:ascii="Times New Roman" w:hAnsi="Times New Roman" w:cs="Times New Roman"/>
          <w:sz w:val="22"/>
          <w:szCs w:val="22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  <w:t xml:space="preserve">2025</w:t>
      </w:r>
      <w:r>
        <w:rPr>
          <w:rFonts w:ascii="Times New Roman" w:hAnsi="Times New Roman" w:cs="Times New Roman"/>
          <w:sz w:val="22"/>
          <w:szCs w:val="22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  <w:t xml:space="preserve">году и позже, учитываются без НДС для всех субъектов МСП.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**Для целей оказания финансовой поддержки основным видом деятельности является тот вид деятельности, выручк</w:t>
      </w:r>
      <w:r>
        <w:rPr>
          <w:rFonts w:ascii="Times New Roman" w:hAnsi="Times New Roman" w:cs="Times New Roman"/>
          <w:sz w:val="22"/>
          <w:szCs w:val="22"/>
        </w:rPr>
        <w:t xml:space="preserve">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</w:t>
      </w:r>
      <w:r>
        <w:rPr>
          <w:rFonts w:ascii="Times New Roman" w:hAnsi="Times New Roman" w:cs="Times New Roman"/>
          <w:sz w:val="22"/>
          <w:szCs w:val="22"/>
        </w:rPr>
        <w:t xml:space="preserve">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 Ред. 2), суммируется. Поддержка может быть оказана, если сумма </w:t>
      </w:r>
      <w:r>
        <w:rPr>
          <w:rFonts w:ascii="Times New Roman" w:hAnsi="Times New Roman" w:cs="Times New Roman"/>
          <w:sz w:val="22"/>
          <w:szCs w:val="22"/>
        </w:rPr>
        <w:t xml:space="preserve">выручки (дохода) по разделам Общероссийского классификатора видов экономической деятельности (ОК 029-2014 (КДЕС Ред. 2), указанным в графе «Категория получателей», превышает 50 процентов от общей суммы выручки (дохода) от реализации товаров, работ и услуг.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879" w:right="567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ind w:left="720"/>
      <w:contextualSpacing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spacing w:after="57"/>
      <w:ind w:left="0" w:right="0" w:firstLine="0"/>
    </w:pPr>
  </w:style>
  <w:style w:type="paragraph" w:styleId="826">
    <w:name w:val="toc 2"/>
    <w:basedOn w:val="836"/>
    <w:next w:val="836"/>
    <w:uiPriority w:val="39"/>
    <w:unhideWhenUsed/>
    <w:pPr>
      <w:spacing w:after="57"/>
      <w:ind w:left="283" w:right="0" w:firstLine="0"/>
    </w:pPr>
  </w:style>
  <w:style w:type="paragraph" w:styleId="827">
    <w:name w:val="toc 3"/>
    <w:basedOn w:val="836"/>
    <w:next w:val="836"/>
    <w:uiPriority w:val="39"/>
    <w:unhideWhenUsed/>
    <w:pPr>
      <w:spacing w:after="57"/>
      <w:ind w:left="567" w:right="0" w:firstLine="0"/>
    </w:pPr>
  </w:style>
  <w:style w:type="paragraph" w:styleId="828">
    <w:name w:val="toc 4"/>
    <w:basedOn w:val="836"/>
    <w:next w:val="836"/>
    <w:uiPriority w:val="39"/>
    <w:unhideWhenUsed/>
    <w:pPr>
      <w:spacing w:after="57"/>
      <w:ind w:left="850" w:right="0" w:firstLine="0"/>
    </w:pPr>
  </w:style>
  <w:style w:type="paragraph" w:styleId="829">
    <w:name w:val="toc 5"/>
    <w:basedOn w:val="836"/>
    <w:next w:val="836"/>
    <w:uiPriority w:val="39"/>
    <w:unhideWhenUsed/>
    <w:pPr>
      <w:spacing w:after="57"/>
      <w:ind w:left="1134" w:right="0" w:firstLine="0"/>
    </w:pPr>
  </w:style>
  <w:style w:type="paragraph" w:styleId="830">
    <w:name w:val="toc 6"/>
    <w:basedOn w:val="836"/>
    <w:next w:val="836"/>
    <w:uiPriority w:val="39"/>
    <w:unhideWhenUsed/>
    <w:pPr>
      <w:spacing w:after="57"/>
      <w:ind w:left="1417" w:right="0" w:firstLine="0"/>
    </w:pPr>
  </w:style>
  <w:style w:type="paragraph" w:styleId="831">
    <w:name w:val="toc 7"/>
    <w:basedOn w:val="836"/>
    <w:next w:val="836"/>
    <w:uiPriority w:val="39"/>
    <w:unhideWhenUsed/>
    <w:pPr>
      <w:spacing w:after="57"/>
      <w:ind w:left="1701" w:right="0" w:firstLine="0"/>
    </w:pPr>
  </w:style>
  <w:style w:type="paragraph" w:styleId="832">
    <w:name w:val="toc 8"/>
    <w:basedOn w:val="836"/>
    <w:next w:val="836"/>
    <w:uiPriority w:val="39"/>
    <w:unhideWhenUsed/>
    <w:pPr>
      <w:spacing w:after="57"/>
      <w:ind w:left="1984" w:right="0" w:firstLine="0"/>
    </w:pPr>
  </w:style>
  <w:style w:type="paragraph" w:styleId="833">
    <w:name w:val="toc 9"/>
    <w:basedOn w:val="836"/>
    <w:next w:val="836"/>
    <w:uiPriority w:val="39"/>
    <w:unhideWhenUsed/>
    <w:pPr>
      <w:spacing w:after="57"/>
      <w:ind w:left="2268" w:right="0" w:firstLine="0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7">
    <w:name w:val="Основной шрифт абзаца"/>
    <w:next w:val="837"/>
    <w:link w:val="836"/>
    <w:uiPriority w:val="1"/>
    <w:semiHidden/>
    <w:unhideWhenUsed/>
  </w:style>
  <w:style w:type="table" w:styleId="838">
    <w:name w:val="Обычная таблица"/>
    <w:next w:val="838"/>
    <w:link w:val="836"/>
    <w:uiPriority w:val="99"/>
    <w:semiHidden/>
    <w:unhideWhenUsed/>
    <w:tblPr/>
  </w:style>
  <w:style w:type="numbering" w:styleId="839">
    <w:name w:val="Нет списка"/>
    <w:next w:val="839"/>
    <w:link w:val="836"/>
    <w:uiPriority w:val="99"/>
    <w:semiHidden/>
    <w:unhideWhenUsed/>
  </w:style>
  <w:style w:type="paragraph" w:styleId="840">
    <w:name w:val="ConsPlusNormal"/>
    <w:next w:val="840"/>
    <w:link w:val="836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841">
    <w:name w:val="Текст выноски"/>
    <w:basedOn w:val="836"/>
    <w:next w:val="841"/>
    <w:link w:val="842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>
    <w:name w:val="Текст выноски Знак"/>
    <w:next w:val="842"/>
    <w:link w:val="841"/>
    <w:uiPriority w:val="99"/>
    <w:rPr>
      <w:rFonts w:ascii="Tahoma" w:hAnsi="Tahoma" w:cs="Tahoma"/>
      <w:sz w:val="16"/>
      <w:szCs w:val="16"/>
      <w:lang w:eastAsia="en-US"/>
    </w:rPr>
  </w:style>
  <w:style w:type="table" w:styleId="843">
    <w:name w:val="Сетка таблицы"/>
    <w:basedOn w:val="838"/>
    <w:next w:val="843"/>
    <w:link w:val="83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4">
    <w:name w:val="Верхний колонтитул"/>
    <w:basedOn w:val="836"/>
    <w:next w:val="844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>
    <w:name w:val="Верхний колонтитул Знак"/>
    <w:next w:val="845"/>
    <w:link w:val="844"/>
    <w:uiPriority w:val="99"/>
    <w:rPr>
      <w:sz w:val="22"/>
      <w:szCs w:val="22"/>
      <w:lang w:eastAsia="en-US"/>
    </w:rPr>
  </w:style>
  <w:style w:type="paragraph" w:styleId="846">
    <w:name w:val="Нижний колонтитул"/>
    <w:basedOn w:val="836"/>
    <w:next w:val="84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>
    <w:name w:val="Нижний колонтитул Знак"/>
    <w:next w:val="847"/>
    <w:link w:val="846"/>
    <w:uiPriority w:val="99"/>
    <w:rPr>
      <w:sz w:val="22"/>
      <w:szCs w:val="22"/>
      <w:lang w:eastAsia="en-US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revision>7</cp:revision>
  <dcterms:created xsi:type="dcterms:W3CDTF">2021-08-10T09:01:00Z</dcterms:created>
  <dcterms:modified xsi:type="dcterms:W3CDTF">2025-08-11T04:28:51Z</dcterms:modified>
  <cp:version>1048576</cp:version>
</cp:coreProperties>
</file>