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Таблица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показатели деятельности субъекта МСП,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применяющего общую систему налогообложения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МСП________________________________________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1"/>
        <w:gridCol w:w="3786"/>
        <w:gridCol w:w="1288"/>
        <w:gridCol w:w="1289"/>
        <w:gridCol w:w="1289"/>
        <w:gridCol w:w="1700"/>
      </w:tblGrid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Mar>
              <w:left w:w="62" w:type="dxa"/>
              <w:top w:w="28" w:type="dxa"/>
              <w:right w:w="62" w:type="dxa"/>
              <w:bottom w:w="28" w:type="dxa"/>
            </w:tcMar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Годы, предшествующ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субсидии, показатели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(план)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2-й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1-й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Выручка,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выполнявших работы 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договорам гражданско-правового характе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ра), человек, всего, из нее**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среднесписочного состава (численность работников без внешних совместителей)**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внешних совместителей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жданско-правового характера**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начисленной заработной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аты работников, тыс. рублей**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ата, тыс. рублей**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налогов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 Новосибирской области (тыс. рублей), всего, в том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(НДФЛ)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* При заполнении таблиц учитываются данные по трем годам, предшествовавшим году предоставления субсидии.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Пример: если субсидия предоставляется в 2024 году, то предшествующие годы – 2023 (1-й год, предшествующий году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субсидии), 2022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(2-й год, предшествующий году предоставления субсидии) и 2021 (3-й год, предшествующий году предоставления субсидии).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</w:r>
      <w:bookmarkStart w:id="0" w:name="undefined"/>
      <w:r>
        <w:rPr>
          <w:sz w:val="26"/>
          <w:szCs w:val="26"/>
        </w:rPr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**</w:t>
      </w:r>
      <w: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пункте 6 заявки на оказание финансовой поддержки.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Среднемесячная заработная плата рассчитывается в соответствии с Положением об особенностях порядка исчисления средней заработной платы, утвержденным постановлением Правительства Российской Федерации от 24.12.2007</w:t>
      </w:r>
      <w:r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 xml:space="preserve">922 «Об особенностях порядка исчисления средней заработной платы».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850" w:right="567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2024-08-14T11:29:26Z</dcterms:modified>
</cp:coreProperties>
</file>