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  <w:spacing w:after="0" w:line="240" w:lineRule="auto"/>
        <w:rPr>
          <w:rFonts w:ascii="Times New Roman" w:hAnsi="Times New Roman" w:cs="Times New Roman"/>
          <w:sz w:val="28"/>
          <w:szCs w:val="28"/>
        </w:rPr>
        <w:outlineLvl w:val="1"/>
      </w:pPr>
      <w:r>
        <w:rPr>
          <w:rFonts w:ascii="Times New Roman" w:hAnsi="Times New Roman" w:cs="Times New Roman"/>
          <w:sz w:val="28"/>
          <w:szCs w:val="28"/>
        </w:rPr>
        <w:t xml:space="preserve">Таблица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 w:line="240" w:lineRule="auto"/>
        <w:rPr>
          <w:rFonts w:ascii="Times New Roman" w:hAnsi="Times New Roman" w:cs="Times New Roman"/>
          <w:sz w:val="28"/>
          <w:szCs w:val="28"/>
        </w:rPr>
        <w:outlineLvl w:val="1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Экономические показатели деятельности субъекта МСП,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применяющего упрощенную систему налогообложения, патентную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систему налогообложения, систему налогообложения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сельскохозяйственных товаропроизводителей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субъекта МСП 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991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573"/>
        <w:gridCol w:w="3787"/>
        <w:gridCol w:w="1287"/>
        <w:gridCol w:w="1287"/>
        <w:gridCol w:w="1287"/>
        <w:gridCol w:w="1697"/>
      </w:tblGrid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п/п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показателей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gridSpan w:val="3"/>
            <w:tcMar>
              <w:left w:w="62" w:type="dxa"/>
              <w:top w:w="28" w:type="dxa"/>
              <w:right w:w="62" w:type="dxa"/>
              <w:bottom w:w="28" w:type="dxa"/>
            </w:tcMar>
            <w:tcW w:w="386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Годы, предшествующ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ие году предоставления субсидии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*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Год предо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субсидии, показатели 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год (план)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3-й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2-й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1-й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Доход, тыс. 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Расходы,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Чистый доход**,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Средняя численность работников (включая выполнявших работы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договорам гражданско-правового характера), человек, всего, из нее***: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среднесписочного состава (численность работни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ков без внешних совместителей)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***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внешних совместителей***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договорам гражданско-правового характера***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Фонд начисленной 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работной платы работников, тыс.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рублей***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Среднемесячная заработная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плата, тыс.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рублей***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keepNext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keepNext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Поступление налогов в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консолидированный бюд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жет Новосибирской области (тыс. рублей), всего, в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числе: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keepNext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keepNext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keepNext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keepNext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налог на доходы физических лиц (НДФЛ)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налог, уплачиваемый в связи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применением упрощенной системы налогообложения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налог, уплачиваемый в связи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применением патентной системы налогообложения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единый сельскохозяйственный налог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7.5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налог на имущество организаций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  <w:trHeight w:val="22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7.6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транспортный налог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jc w:val="center"/>
        </w:trPr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5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7.7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37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налог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x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2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Mar>
              <w:left w:w="62" w:type="dxa"/>
              <w:top w:w="28" w:type="dxa"/>
              <w:right w:w="62" w:type="dxa"/>
              <w:bottom w:w="28" w:type="dxa"/>
            </w:tcMar>
            <w:tcW w:w="169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юридического лица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_______________ (______________________)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* При заполнении таблиц учитываются данные по трем годам, предшествовавшим году предоставления субсидии.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Пример: если субсидия предоставляется в 2024 году, то предшествующие годы – 2023 (1-й год, предшествующий году</w:t>
      </w:r>
      <w:r>
        <w:rPr>
          <w:rFonts w:ascii="Times New Roman" w:hAnsi="Times New Roman" w:cs="Times New Roman"/>
          <w:sz w:val="26"/>
          <w:szCs w:val="26"/>
        </w:rPr>
        <w:t xml:space="preserve"> предоставления субсидии), 2022 </w:t>
      </w:r>
      <w:r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 xml:space="preserve">(2-й год, предшествующий году предоставления субсидии) и 2021 (3-й год, предшествующий году предоставления субсидии).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**</w:t>
      </w:r>
      <w:r/>
      <w:r>
        <w:rPr>
          <w:rFonts w:ascii="Times New Roman" w:hAnsi="Times New Roman" w:cs="Times New Roman"/>
          <w:sz w:val="26"/>
          <w:szCs w:val="26"/>
        </w:rPr>
        <w:t xml:space="preserve">Доход за вычетом суммы расходов и уплаченных налогов.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sz w:val="26"/>
          <w:szCs w:val="26"/>
        </w:rPr>
      </w:r>
      <w:bookmarkStart w:id="0" w:name="undefined"/>
      <w:r>
        <w:rPr>
          <w:sz w:val="26"/>
          <w:szCs w:val="26"/>
        </w:rPr>
      </w:r>
      <w:bookmarkEnd w:id="0"/>
      <w:r>
        <w:rPr>
          <w:rFonts w:ascii="Times New Roman" w:hAnsi="Times New Roman" w:cs="Times New Roman"/>
          <w:sz w:val="26"/>
          <w:szCs w:val="26"/>
        </w:rPr>
        <w:t xml:space="preserve">***</w:t>
      </w:r>
      <w:r>
        <w:t xml:space="preserve"> </w:t>
      </w:r>
      <w:r>
        <w:rPr>
          <w:rFonts w:ascii="Times New Roman" w:hAnsi="Times New Roman" w:cs="Times New Roman"/>
          <w:sz w:val="26"/>
          <w:szCs w:val="26"/>
        </w:rPr>
        <w:t xml:space="preserve">Заполняется отдельной строкой по каждому обособленному подразделению, осуществляющему деятельность на территории Новосибирской области и указанному в пункте 6 заявки на оказание финансовой поддержки.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Среднемесячная заработная плата рассчитывается в соответствии с Положением об особенностях порядка исчисления средней заработной платы, утвержденным постановлением Правительства Российской Федерации от 24.12.2007</w:t>
      </w:r>
      <w:r>
        <w:rPr>
          <w:rFonts w:ascii="Times New Roman" w:hAnsi="Times New Roman" w:cs="Times New Roman"/>
          <w:sz w:val="26"/>
          <w:szCs w:val="26"/>
        </w:rPr>
        <w:t xml:space="preserve"> № </w:t>
      </w:r>
      <w:r>
        <w:rPr>
          <w:rFonts w:ascii="Times New Roman" w:hAnsi="Times New Roman" w:cs="Times New Roman"/>
          <w:sz w:val="26"/>
          <w:szCs w:val="26"/>
        </w:rPr>
        <w:t xml:space="preserve">922 «Об особенностях порядка исчисления средней заработной платы».</w:t>
      </w:r>
      <w:r>
        <w:rPr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sectPr>
      <w:footnotePr/>
      <w:endnotePr/>
      <w:type w:val="nextPage"/>
      <w:pgSz w:w="11906" w:h="16838" w:orient="portrait"/>
      <w:pgMar w:top="850" w:right="567" w:bottom="850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2024-08-14T11:40:11Z</dcterms:modified>
</cp:coreProperties>
</file>